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EC35AF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EC35AF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4B37D2FA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EC35AF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proofErr w:type="gramStart"/>
      <w:r w:rsidR="00051313">
        <w:rPr>
          <w:rFonts w:ascii="Cambria" w:eastAsiaTheme="minorEastAsia" w:hAnsi="Cambria"/>
          <w:b/>
          <w:bCs/>
          <w:sz w:val="24"/>
          <w:szCs w:val="24"/>
          <w:lang w:eastAsia="pt-BR"/>
        </w:rPr>
        <w:t>Fevereiro</w:t>
      </w:r>
      <w:proofErr w:type="gramEnd"/>
      <w:r w:rsidRPr="00EC35AF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EC35AF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</w:t>
      </w:r>
      <w:r w:rsidR="007D5694" w:rsidRPr="00EC35AF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3</w:t>
      </w:r>
      <w:r w:rsidRPr="00EC35AF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0"/>
        <w:gridCol w:w="1825"/>
        <w:gridCol w:w="2335"/>
        <w:gridCol w:w="1800"/>
        <w:gridCol w:w="1855"/>
        <w:gridCol w:w="2092"/>
        <w:gridCol w:w="1594"/>
      </w:tblGrid>
      <w:tr w:rsidR="00670988" w:rsidRPr="00EC35AF" w14:paraId="36F5EDF7" w14:textId="77777777" w:rsidTr="0058445A">
        <w:trPr>
          <w:tblCellSpacing w:w="0" w:type="dxa"/>
        </w:trPr>
        <w:tc>
          <w:tcPr>
            <w:tcW w:w="295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82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33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80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85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92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594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3C4D5B" w:rsidRPr="00EC35AF" w14:paraId="5E252184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F8DADE" w14:textId="1DE16797" w:rsidR="003C4D5B" w:rsidRPr="00EC35AF" w:rsidRDefault="0005131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19.21.0428.0001388 /2023-34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F13A16" w14:textId="6694F997" w:rsidR="003C4D5B" w:rsidRPr="00EC35AF" w:rsidRDefault="00051313" w:rsidP="007D56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Pregão eletrônico nº 4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  <w:r w:rsidRPr="00EC35AF">
              <w:rPr>
                <w:rFonts w:ascii="Cambria" w:hAnsi="Cambria"/>
                <w:sz w:val="24"/>
                <w:szCs w:val="24"/>
              </w:rPr>
              <w:t>/2022, Ata de Registro de Preços nº 5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EC35AF">
              <w:rPr>
                <w:rFonts w:ascii="Cambria" w:hAnsi="Cambria"/>
                <w:sz w:val="24"/>
                <w:szCs w:val="24"/>
              </w:rPr>
              <w:t>/2022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4E23C1" w14:textId="71027AB7" w:rsidR="003C4D5B" w:rsidRPr="00EC35AF" w:rsidRDefault="00C43937" w:rsidP="00BB6CD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Aquisição de gêneros alimentícios (açúcar e café) para as sedes do Ministério Público do Estado do Piauí- MPPI, conforme pregão </w:t>
            </w:r>
            <w:r>
              <w:lastRenderedPageBreak/>
              <w:t>eletrônico nº 46/2022, ARP n</w:t>
            </w:r>
            <w:r w:rsidR="00051313">
              <w:t>º 50/2022.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DAC7C4" w14:textId="77777777" w:rsidR="0058445A" w:rsidRDefault="00051313" w:rsidP="007D5694">
            <w:pPr>
              <w:spacing w:before="278" w:after="198" w:line="276" w:lineRule="auto"/>
              <w:jc w:val="center"/>
            </w:pPr>
            <w:r>
              <w:lastRenderedPageBreak/>
              <w:t>2023NE00095</w:t>
            </w:r>
          </w:p>
          <w:p w14:paraId="5C2E9C05" w14:textId="77777777" w:rsidR="00051313" w:rsidRPr="00EC35AF" w:rsidRDefault="00051313" w:rsidP="00051313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(PGJ)</w:t>
            </w:r>
          </w:p>
          <w:p w14:paraId="0324424A" w14:textId="72B3A8B3" w:rsidR="00051313" w:rsidRPr="00EC35AF" w:rsidRDefault="00051313" w:rsidP="00051313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Emissão: </w:t>
            </w:r>
            <w:r>
              <w:rPr>
                <w:rFonts w:ascii="Cambria" w:hAnsi="Cambria"/>
                <w:sz w:val="24"/>
                <w:szCs w:val="24"/>
              </w:rPr>
              <w:t>01/02</w:t>
            </w:r>
            <w:r w:rsidRPr="00EC35AF">
              <w:rPr>
                <w:rFonts w:ascii="Cambria" w:hAnsi="Cambria"/>
                <w:sz w:val="24"/>
                <w:szCs w:val="24"/>
              </w:rPr>
              <w:t>/23</w:t>
            </w:r>
          </w:p>
          <w:p w14:paraId="0ABE5AB7" w14:textId="4E100D4B" w:rsidR="00051313" w:rsidRPr="00EC35AF" w:rsidRDefault="00051313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AAC96B" w14:textId="6B2461B2" w:rsidR="003C4D5B" w:rsidRPr="00EC35AF" w:rsidRDefault="0005131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3.3.90.30 - Material de Consumo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EF203F" w14:textId="77777777" w:rsidR="00C43937" w:rsidRDefault="00051313" w:rsidP="00C43937">
            <w:pPr>
              <w:spacing w:before="278" w:after="119" w:line="276" w:lineRule="auto"/>
              <w:jc w:val="center"/>
            </w:pPr>
            <w:r>
              <w:t xml:space="preserve">DPS </w:t>
            </w:r>
            <w:r w:rsidR="00C43937">
              <w:t xml:space="preserve">Gonçalves Indústria E Comércio de Alimentos </w:t>
            </w:r>
            <w:proofErr w:type="spellStart"/>
            <w:r w:rsidR="00C43937">
              <w:t>Ltda</w:t>
            </w:r>
            <w:proofErr w:type="spellEnd"/>
            <w:r w:rsidR="00C43937">
              <w:t xml:space="preserve"> (DPS Alimentos).</w:t>
            </w:r>
          </w:p>
          <w:p w14:paraId="09FDDB6B" w14:textId="4C84FD1D" w:rsidR="003C4D5B" w:rsidRPr="00EC35AF" w:rsidRDefault="00051313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CNPJ: 64.106.552/0001- 61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D73BFC" w14:textId="1C41B04B" w:rsidR="003C4D5B" w:rsidRPr="00EC35AF" w:rsidRDefault="00051313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R$ 36.050,00</w:t>
            </w:r>
          </w:p>
        </w:tc>
      </w:tr>
      <w:tr w:rsidR="00051313" w:rsidRPr="00EC35AF" w14:paraId="27B07B7A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3FE4CB" w14:textId="57C05576" w:rsidR="00051313" w:rsidRDefault="00051313" w:rsidP="003C4D5B">
            <w:pPr>
              <w:spacing w:before="278" w:after="119" w:line="276" w:lineRule="auto"/>
              <w:jc w:val="center"/>
            </w:pPr>
            <w:r>
              <w:lastRenderedPageBreak/>
              <w:t>19.21.0428.0001383 /2023-72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393F47" w14:textId="363B80CC" w:rsidR="00051313" w:rsidRPr="00EC35AF" w:rsidRDefault="00051313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Pregão eletrônico nº 4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  <w:r w:rsidRPr="00EC35AF">
              <w:rPr>
                <w:rFonts w:ascii="Cambria" w:hAnsi="Cambria"/>
                <w:sz w:val="24"/>
                <w:szCs w:val="24"/>
              </w:rPr>
              <w:t>/2022, Ata de Registro de Preços nº 5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EC35AF">
              <w:rPr>
                <w:rFonts w:ascii="Cambria" w:hAnsi="Cambria"/>
                <w:sz w:val="24"/>
                <w:szCs w:val="24"/>
              </w:rPr>
              <w:t>/2022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3D4043" w14:textId="2CE4F8D6" w:rsidR="00051313" w:rsidRDefault="00C43937" w:rsidP="0048599A">
            <w:pPr>
              <w:spacing w:before="278" w:after="119" w:line="276" w:lineRule="auto"/>
              <w:jc w:val="center"/>
            </w:pPr>
            <w:r>
              <w:t>Aquisição de garrafas térmicas com capacidades de 0,50 (meio) litro, 1 (um) litro e 1,8 litros para o Ministério Público do Estado do Piauí- MPPI (ARP nº 50/2022, P.E. nº 46/2022), conforme memória de cálculo (sei - 0389680).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238B07" w14:textId="77777777" w:rsidR="00051313" w:rsidRDefault="00051313" w:rsidP="003C4D5B">
            <w:pPr>
              <w:spacing w:before="278" w:after="198" w:line="276" w:lineRule="auto"/>
              <w:jc w:val="center"/>
            </w:pPr>
            <w:r>
              <w:t>2023NE00091</w:t>
            </w:r>
          </w:p>
          <w:p w14:paraId="3499860D" w14:textId="77777777" w:rsidR="00051313" w:rsidRPr="00EC35AF" w:rsidRDefault="00051313" w:rsidP="00051313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(PGJ)</w:t>
            </w:r>
          </w:p>
          <w:p w14:paraId="00B879F7" w14:textId="77777777" w:rsidR="00051313" w:rsidRPr="00EC35AF" w:rsidRDefault="00051313" w:rsidP="00051313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Emissão: </w:t>
            </w:r>
            <w:r>
              <w:rPr>
                <w:rFonts w:ascii="Cambria" w:hAnsi="Cambria"/>
                <w:sz w:val="24"/>
                <w:szCs w:val="24"/>
              </w:rPr>
              <w:t>01/02</w:t>
            </w:r>
            <w:r w:rsidRPr="00EC35AF">
              <w:rPr>
                <w:rFonts w:ascii="Cambria" w:hAnsi="Cambria"/>
                <w:sz w:val="24"/>
                <w:szCs w:val="24"/>
              </w:rPr>
              <w:t>/23</w:t>
            </w:r>
          </w:p>
          <w:p w14:paraId="33D73065" w14:textId="6FFDFEC4" w:rsidR="00051313" w:rsidRDefault="00051313" w:rsidP="003C4D5B">
            <w:pPr>
              <w:spacing w:before="278" w:after="198" w:line="276" w:lineRule="auto"/>
              <w:jc w:val="center"/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68554D" w14:textId="6865C8CF" w:rsidR="00051313" w:rsidRDefault="00051313" w:rsidP="003C4D5B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DEDA9D" w14:textId="4C8CA1A0" w:rsidR="00051313" w:rsidRDefault="00C43937" w:rsidP="003C4D5B">
            <w:pPr>
              <w:spacing w:before="278" w:after="119" w:line="276" w:lineRule="auto"/>
              <w:jc w:val="center"/>
            </w:pPr>
            <w:r>
              <w:t>Marcos A Arruda de Figueiredo (</w:t>
            </w:r>
            <w:proofErr w:type="spellStart"/>
            <w:r>
              <w:t>Uniclass</w:t>
            </w:r>
            <w:proofErr w:type="spellEnd"/>
            <w:r>
              <w:t xml:space="preserve"> Consultoria Comércio E Serviços).</w:t>
            </w:r>
          </w:p>
          <w:p w14:paraId="7A9D572A" w14:textId="42B8D6BF" w:rsidR="00051313" w:rsidRDefault="00051313" w:rsidP="003C4D5B">
            <w:pPr>
              <w:spacing w:before="278" w:after="119" w:line="276" w:lineRule="auto"/>
              <w:jc w:val="center"/>
            </w:pPr>
            <w:r>
              <w:t>CNPJ: 09.491.099 /0001-46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125F18E" w14:textId="1A069C01" w:rsidR="00051313" w:rsidRDefault="0005131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8.563,50</w:t>
            </w:r>
          </w:p>
        </w:tc>
      </w:tr>
      <w:tr w:rsidR="00051313" w:rsidRPr="00EC35AF" w14:paraId="441D41E1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DF5D0F" w14:textId="4997C9A9" w:rsidR="00051313" w:rsidRDefault="00051313" w:rsidP="003C4D5B">
            <w:pPr>
              <w:spacing w:before="278" w:after="119" w:line="276" w:lineRule="auto"/>
              <w:jc w:val="center"/>
            </w:pPr>
            <w:r>
              <w:t>19.21.0428.0001374 /2023-24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020189" w14:textId="514D2A52" w:rsidR="00051313" w:rsidRPr="00EC35AF" w:rsidRDefault="00051313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Pregão eletrônico nº 4</w:t>
            </w:r>
            <w:r>
              <w:rPr>
                <w:rFonts w:ascii="Cambria" w:hAnsi="Cambria"/>
                <w:sz w:val="24"/>
                <w:szCs w:val="24"/>
              </w:rPr>
              <w:t>9</w:t>
            </w:r>
            <w:r w:rsidRPr="00EC35AF">
              <w:rPr>
                <w:rFonts w:ascii="Cambria" w:hAnsi="Cambria"/>
                <w:sz w:val="24"/>
                <w:szCs w:val="24"/>
              </w:rPr>
              <w:t>/2022, Ata de Registro de Preços nº 5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  <w:r w:rsidRPr="00EC35AF">
              <w:rPr>
                <w:rFonts w:ascii="Cambria" w:hAnsi="Cambria"/>
                <w:sz w:val="24"/>
                <w:szCs w:val="24"/>
              </w:rPr>
              <w:t>/2022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01ACA0" w14:textId="023E3238" w:rsidR="00051313" w:rsidRDefault="00C43937" w:rsidP="0048599A">
            <w:pPr>
              <w:spacing w:before="278" w:after="119" w:line="276" w:lineRule="auto"/>
              <w:jc w:val="center"/>
            </w:pPr>
            <w:r>
              <w:t>Aquisição de material de limpeza e higiene para o Ministério Público do Estado do Piauí- MPPI (ARP nº 54/2022, P.E. nº 49/2022), conforme memória de cálculo (sei - 0389877).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6CE285" w14:textId="77777777" w:rsidR="00051313" w:rsidRDefault="00C43937" w:rsidP="003C4D5B">
            <w:pPr>
              <w:spacing w:before="278" w:after="198" w:line="276" w:lineRule="auto"/>
              <w:jc w:val="center"/>
            </w:pPr>
            <w:r>
              <w:t>2023NE00090</w:t>
            </w:r>
          </w:p>
          <w:p w14:paraId="0B3AD9FE" w14:textId="77777777" w:rsidR="00C43937" w:rsidRPr="00EC35AF" w:rsidRDefault="00C43937" w:rsidP="00C43937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(PGJ)</w:t>
            </w:r>
          </w:p>
          <w:p w14:paraId="6BC9984C" w14:textId="77777777" w:rsidR="00C43937" w:rsidRPr="00EC35AF" w:rsidRDefault="00C43937" w:rsidP="00C43937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Emissão: </w:t>
            </w:r>
            <w:r>
              <w:rPr>
                <w:rFonts w:ascii="Cambria" w:hAnsi="Cambria"/>
                <w:sz w:val="24"/>
                <w:szCs w:val="24"/>
              </w:rPr>
              <w:t>01/02</w:t>
            </w:r>
            <w:r w:rsidRPr="00EC35AF">
              <w:rPr>
                <w:rFonts w:ascii="Cambria" w:hAnsi="Cambria"/>
                <w:sz w:val="24"/>
                <w:szCs w:val="24"/>
              </w:rPr>
              <w:t>/23</w:t>
            </w:r>
          </w:p>
          <w:p w14:paraId="3E485762" w14:textId="1E548487" w:rsidR="00C43937" w:rsidRDefault="00C43937" w:rsidP="003C4D5B">
            <w:pPr>
              <w:spacing w:before="278" w:after="198" w:line="276" w:lineRule="auto"/>
              <w:jc w:val="center"/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4D1B99" w14:textId="1D297CA4" w:rsidR="00051313" w:rsidRDefault="00C43937" w:rsidP="003C4D5B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327F50" w14:textId="01CC7CA8" w:rsidR="00C43937" w:rsidRDefault="00C43937" w:rsidP="00C43937">
            <w:pPr>
              <w:spacing w:before="278" w:after="119" w:line="276" w:lineRule="auto"/>
              <w:jc w:val="center"/>
            </w:pPr>
            <w:r>
              <w:t xml:space="preserve">C.L. </w:t>
            </w:r>
            <w:proofErr w:type="spellStart"/>
            <w:r>
              <w:t>Beserra</w:t>
            </w:r>
            <w:proofErr w:type="spellEnd"/>
            <w:r>
              <w:t xml:space="preserve"> &amp; Cia </w:t>
            </w:r>
            <w:proofErr w:type="spellStart"/>
            <w:r>
              <w:t>Ltda</w:t>
            </w:r>
            <w:proofErr w:type="spellEnd"/>
            <w:r>
              <w:t xml:space="preserve"> EPP.</w:t>
            </w:r>
          </w:p>
          <w:p w14:paraId="4128A3FC" w14:textId="1A4B0C1D" w:rsidR="00051313" w:rsidRDefault="00C43937" w:rsidP="00C43937">
            <w:pPr>
              <w:spacing w:before="278" w:after="119" w:line="276" w:lineRule="auto"/>
              <w:jc w:val="center"/>
            </w:pPr>
            <w:r>
              <w:t>CNPJ: 07.239.237/0001-79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27C77F" w14:textId="1C25A564" w:rsidR="00051313" w:rsidRDefault="00C43937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98.626,40</w:t>
            </w:r>
          </w:p>
        </w:tc>
      </w:tr>
      <w:tr w:rsidR="003C4D5B" w:rsidRPr="00EC35AF" w14:paraId="3FDC3346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DE9BAF" w14:textId="50CFFB31" w:rsidR="003C4D5B" w:rsidRPr="00EC35AF" w:rsidRDefault="0005131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19.21.0428.0001389 /2023-07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073AEC" w14:textId="2B0FD727" w:rsidR="003C4D5B" w:rsidRPr="00EC35AF" w:rsidRDefault="00051313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Pregão eletrônico nº 4</w:t>
            </w:r>
            <w:r>
              <w:rPr>
                <w:rFonts w:ascii="Cambria" w:hAnsi="Cambria"/>
                <w:sz w:val="24"/>
                <w:szCs w:val="24"/>
              </w:rPr>
              <w:t>6</w:t>
            </w:r>
            <w:r w:rsidRPr="00EC35AF">
              <w:rPr>
                <w:rFonts w:ascii="Cambria" w:hAnsi="Cambria"/>
                <w:sz w:val="24"/>
                <w:szCs w:val="24"/>
              </w:rPr>
              <w:t>/2022, Ata de Registro de Preços nº 5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  <w:r w:rsidRPr="00EC35AF">
              <w:rPr>
                <w:rFonts w:ascii="Cambria" w:hAnsi="Cambria"/>
                <w:sz w:val="24"/>
                <w:szCs w:val="24"/>
              </w:rPr>
              <w:t>/2022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6C7256" w14:textId="6F5F9D2E" w:rsidR="003C4D5B" w:rsidRPr="00EC35AF" w:rsidRDefault="00C43937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Aquisição de gêneros alimentícios e copa para as sedes do MPPI (biscoito de polvilho e cappuccino), conforme memória de cálculo (sei - 0389748) , pregão eletrônico nº 46/2022 e ARP nº 50/2022 (lote 02).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522AD6" w14:textId="77777777" w:rsidR="0048599A" w:rsidRDefault="00051313" w:rsidP="003C4D5B">
            <w:pPr>
              <w:spacing w:before="278" w:after="198" w:line="276" w:lineRule="auto"/>
              <w:jc w:val="center"/>
            </w:pPr>
            <w:r>
              <w:t>2023NE00127</w:t>
            </w:r>
          </w:p>
          <w:p w14:paraId="53420E43" w14:textId="77777777" w:rsidR="00051313" w:rsidRPr="00EC35AF" w:rsidRDefault="00051313" w:rsidP="00051313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(PGJ)</w:t>
            </w:r>
          </w:p>
          <w:p w14:paraId="2829F4DC" w14:textId="38EF2C2D" w:rsidR="00051313" w:rsidRPr="00EC35AF" w:rsidRDefault="00051313" w:rsidP="00051313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Emissão: </w:t>
            </w:r>
            <w:r>
              <w:rPr>
                <w:rFonts w:ascii="Cambria" w:hAnsi="Cambria"/>
                <w:sz w:val="24"/>
                <w:szCs w:val="24"/>
              </w:rPr>
              <w:t>09/02</w:t>
            </w:r>
            <w:r w:rsidRPr="00EC35AF">
              <w:rPr>
                <w:rFonts w:ascii="Cambria" w:hAnsi="Cambria"/>
                <w:sz w:val="24"/>
                <w:szCs w:val="24"/>
              </w:rPr>
              <w:t>/23</w:t>
            </w:r>
          </w:p>
          <w:p w14:paraId="056B17BA" w14:textId="55C1D696" w:rsidR="00051313" w:rsidRPr="00EC35AF" w:rsidRDefault="00051313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79DCCF" w14:textId="26914652" w:rsidR="003C4D5B" w:rsidRPr="00EC35AF" w:rsidRDefault="0005131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3.3.90.30 - Material de Consumo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BFD9BC" w14:textId="09597080" w:rsidR="00051313" w:rsidRDefault="00051313" w:rsidP="003C4D5B">
            <w:pPr>
              <w:spacing w:before="278" w:after="119" w:line="276" w:lineRule="auto"/>
              <w:jc w:val="center"/>
            </w:pPr>
            <w:r>
              <w:t xml:space="preserve">C.L. </w:t>
            </w:r>
            <w:proofErr w:type="spellStart"/>
            <w:r w:rsidR="00C43937">
              <w:t>Beserra</w:t>
            </w:r>
            <w:proofErr w:type="spellEnd"/>
            <w:r w:rsidR="00C43937">
              <w:t xml:space="preserve"> &amp; Cia </w:t>
            </w:r>
            <w:proofErr w:type="spellStart"/>
            <w:r w:rsidR="00C43937">
              <w:t>Ltda</w:t>
            </w:r>
            <w:proofErr w:type="spellEnd"/>
            <w:r w:rsidR="00C43937">
              <w:t xml:space="preserve"> EPP.</w:t>
            </w:r>
            <w:r>
              <w:t xml:space="preserve"> </w:t>
            </w:r>
          </w:p>
          <w:p w14:paraId="7618F1C6" w14:textId="4710EF11" w:rsidR="0048599A" w:rsidRPr="00EC35AF" w:rsidRDefault="00051313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CNPJ: 07.239.237/0001-79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002D72" w14:textId="3B4E8131" w:rsidR="003C4D5B" w:rsidRPr="00EC35AF" w:rsidRDefault="0005131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2.125,00</w:t>
            </w:r>
          </w:p>
        </w:tc>
      </w:tr>
      <w:tr w:rsidR="003C4D5B" w:rsidRPr="00EC35AF" w14:paraId="7BFE765D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4F11D3" w14:textId="1605EE38" w:rsidR="003C4D5B" w:rsidRPr="00EC35AF" w:rsidRDefault="00883F2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19.21.0731.0023250 /2022-22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6B984E" w14:textId="799109A9" w:rsidR="003C4D5B" w:rsidRPr="00EC35AF" w:rsidRDefault="00883F2C" w:rsidP="00883F2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Pregão eletrônico nº </w:t>
            </w:r>
            <w:r>
              <w:rPr>
                <w:rFonts w:ascii="Cambria" w:hAnsi="Cambria"/>
                <w:sz w:val="24"/>
                <w:szCs w:val="24"/>
              </w:rPr>
              <w:t>18</w:t>
            </w:r>
            <w:r w:rsidRPr="00EC35AF">
              <w:rPr>
                <w:rFonts w:ascii="Cambria" w:hAnsi="Cambria"/>
                <w:sz w:val="24"/>
                <w:szCs w:val="24"/>
              </w:rPr>
              <w:t xml:space="preserve">/2022, Ata de Registro de Preços nº </w:t>
            </w:r>
            <w:r>
              <w:rPr>
                <w:rFonts w:ascii="Cambria" w:hAnsi="Cambria"/>
                <w:sz w:val="24"/>
                <w:szCs w:val="24"/>
              </w:rPr>
              <w:t>26</w:t>
            </w:r>
            <w:r w:rsidRPr="00EC35AF">
              <w:rPr>
                <w:rFonts w:ascii="Cambria" w:hAnsi="Cambria"/>
                <w:sz w:val="24"/>
                <w:szCs w:val="24"/>
              </w:rPr>
              <w:t>/2022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BEBB36" w14:textId="065A7C0C" w:rsidR="003C4D5B" w:rsidRPr="00EC35AF" w:rsidRDefault="00883F2C" w:rsidP="00883F2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Prestação de serviços de conservação e manutenção de edificações, sob demanda, do </w:t>
            </w:r>
            <w:r>
              <w:t>Ministério Público do Estado do Piauí- MPPI</w:t>
            </w:r>
            <w:r>
              <w:t xml:space="preserve"> (sede que abriga as </w:t>
            </w:r>
            <w:proofErr w:type="spellStart"/>
            <w:r>
              <w:t>PJ's</w:t>
            </w:r>
            <w:proofErr w:type="spellEnd"/>
            <w:r>
              <w:t xml:space="preserve"> de Altos) alusivo ARP nº 26/2022, P.E nº 18/2022, lote III, conforme memória de cálculo </w:t>
            </w:r>
            <w:r>
              <w:t>(SEI - 0415173).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C2283C" w14:textId="77777777" w:rsidR="0048599A" w:rsidRDefault="00883F2C" w:rsidP="003C4D5B">
            <w:pPr>
              <w:spacing w:before="278" w:after="198" w:line="276" w:lineRule="auto"/>
              <w:jc w:val="center"/>
            </w:pPr>
            <w:r>
              <w:t>2023NE00004</w:t>
            </w:r>
          </w:p>
          <w:p w14:paraId="0D8E55F9" w14:textId="2B3FFACC" w:rsidR="00883F2C" w:rsidRPr="00EC35AF" w:rsidRDefault="00883F2C" w:rsidP="00883F2C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FMMP/PI</w:t>
            </w: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</w:p>
          <w:p w14:paraId="2884F292" w14:textId="60CCECA5" w:rsidR="00883F2C" w:rsidRPr="00EC35AF" w:rsidRDefault="00883F2C" w:rsidP="00883F2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Emissão: </w:t>
            </w:r>
            <w:r>
              <w:rPr>
                <w:rFonts w:ascii="Cambria" w:hAnsi="Cambria"/>
                <w:sz w:val="24"/>
                <w:szCs w:val="24"/>
              </w:rPr>
              <w:t>28</w:t>
            </w:r>
            <w:r>
              <w:rPr>
                <w:rFonts w:ascii="Cambria" w:hAnsi="Cambria"/>
                <w:sz w:val="24"/>
                <w:szCs w:val="24"/>
              </w:rPr>
              <w:t>/02</w:t>
            </w:r>
            <w:r w:rsidRPr="00EC35AF">
              <w:rPr>
                <w:rFonts w:ascii="Cambria" w:hAnsi="Cambria"/>
                <w:sz w:val="24"/>
                <w:szCs w:val="24"/>
              </w:rPr>
              <w:t>/23</w:t>
            </w:r>
          </w:p>
          <w:p w14:paraId="5D20B60C" w14:textId="4BAF64FD" w:rsidR="00883F2C" w:rsidRPr="00EC35AF" w:rsidRDefault="00883F2C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F4C360" w14:textId="14B99695" w:rsidR="003C4D5B" w:rsidRPr="00EC35AF" w:rsidRDefault="00883F2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39 - Outros Serviços de Terceiros - Pessoa Jurídica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CD6601" w14:textId="77777777" w:rsidR="00883F2C" w:rsidRDefault="00883F2C" w:rsidP="00883F2C">
            <w:pPr>
              <w:spacing w:before="278" w:after="119" w:line="276" w:lineRule="auto"/>
              <w:jc w:val="center"/>
            </w:pPr>
            <w:proofErr w:type="spellStart"/>
            <w:r>
              <w:t>Altacon</w:t>
            </w:r>
            <w:proofErr w:type="spellEnd"/>
            <w:r>
              <w:t xml:space="preserve"> Engenharia e Construção </w:t>
            </w:r>
            <w:proofErr w:type="spellStart"/>
            <w:r>
              <w:t>Ltda</w:t>
            </w:r>
            <w:proofErr w:type="spellEnd"/>
            <w:r>
              <w:t xml:space="preserve"> (</w:t>
            </w:r>
            <w:proofErr w:type="spellStart"/>
            <w:r>
              <w:t>Altacon</w:t>
            </w:r>
            <w:proofErr w:type="spellEnd"/>
            <w:r>
              <w:t xml:space="preserve"> Construção) </w:t>
            </w:r>
          </w:p>
          <w:p w14:paraId="2AF80BA0" w14:textId="5C2886EF" w:rsidR="003C4D5B" w:rsidRPr="00EC35AF" w:rsidRDefault="00883F2C" w:rsidP="00883F2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CNPJ: 22.829.583 /0001-09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8E2B320" w14:textId="7C46B364" w:rsidR="003C4D5B" w:rsidRPr="00EC35AF" w:rsidRDefault="00883F2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54.984,93</w:t>
            </w:r>
          </w:p>
        </w:tc>
      </w:tr>
      <w:tr w:rsidR="00883F2C" w:rsidRPr="00EC35AF" w14:paraId="1EC8E53F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C1800D" w14:textId="2952BF67" w:rsidR="00883F2C" w:rsidRPr="00EC35AF" w:rsidRDefault="00883F2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19.21.0734.0003527 /2023-62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5A1F61" w14:textId="1AC1C4A2" w:rsidR="00883F2C" w:rsidRPr="00EC35AF" w:rsidRDefault="00883F2C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Dispensa nº 03/2023 (Art. 24, II da Lei nº 8.666 /93).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72AFF7" w14:textId="7B73D121" w:rsidR="00883F2C" w:rsidRPr="00EC35AF" w:rsidRDefault="00032AA2" w:rsidP="00032AA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Aquisição de recargas de botijões de gás liquefeito de petróleo GLP, tipo GLP butano, capacidade 13kg, pressão vapor p-13, ponto máximo ebulição 2, teor máximo enxofre volátil 0,36, </w:t>
            </w:r>
            <w:proofErr w:type="spellStart"/>
            <w:r>
              <w:t>corrosividade</w:t>
            </w:r>
            <w:proofErr w:type="spellEnd"/>
            <w:r>
              <w:t xml:space="preserve"> máxima 1, NBR 8614, volume 31,5litros, uso doméstico no preparo de café para ser servido na instituição da promotoria de justiça de Picos do Ministério Público do Estado do Piauí-MPPI.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19B2AE" w14:textId="77777777" w:rsidR="00883F2C" w:rsidRDefault="00883F2C" w:rsidP="003C4D5B">
            <w:pPr>
              <w:spacing w:before="278" w:after="198" w:line="276" w:lineRule="auto"/>
              <w:jc w:val="center"/>
            </w:pPr>
            <w:r>
              <w:t>2023NE00199</w:t>
            </w:r>
          </w:p>
          <w:p w14:paraId="2FE8C62E" w14:textId="61B5BC30" w:rsidR="00883F2C" w:rsidRPr="00EC35AF" w:rsidRDefault="00883F2C" w:rsidP="00883F2C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PGJ</w:t>
            </w: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)</w:t>
            </w:r>
          </w:p>
          <w:p w14:paraId="1007AE0D" w14:textId="77777777" w:rsidR="00883F2C" w:rsidRPr="00EC35AF" w:rsidRDefault="00883F2C" w:rsidP="00883F2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Emissão: </w:t>
            </w:r>
            <w:r>
              <w:rPr>
                <w:rFonts w:ascii="Cambria" w:hAnsi="Cambria"/>
                <w:sz w:val="24"/>
                <w:szCs w:val="24"/>
              </w:rPr>
              <w:t>28/02</w:t>
            </w:r>
            <w:r w:rsidRPr="00EC35AF">
              <w:rPr>
                <w:rFonts w:ascii="Cambria" w:hAnsi="Cambria"/>
                <w:sz w:val="24"/>
                <w:szCs w:val="24"/>
              </w:rPr>
              <w:t>/23</w:t>
            </w:r>
          </w:p>
          <w:p w14:paraId="35D58DDE" w14:textId="585CB1B1" w:rsidR="00883F2C" w:rsidRPr="00EC35AF" w:rsidRDefault="00883F2C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4C4709" w14:textId="77777777" w:rsidR="00883F2C" w:rsidRDefault="00883F2C" w:rsidP="003C4D5B">
            <w:pPr>
              <w:spacing w:before="278" w:after="119" w:line="276" w:lineRule="auto"/>
              <w:jc w:val="center"/>
            </w:pPr>
            <w:r>
              <w:t>3.3.90.30 - Material de Consumo</w:t>
            </w:r>
            <w:r>
              <w:t xml:space="preserve"> </w:t>
            </w:r>
          </w:p>
          <w:p w14:paraId="5CB05025" w14:textId="1B3E674C" w:rsidR="00883F2C" w:rsidRPr="00EC35AF" w:rsidRDefault="00883F2C" w:rsidP="00883F2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03 - </w:t>
            </w:r>
            <w:r>
              <w:t>gás e outros materiais engarrafados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1A4CDE" w14:textId="52301A30" w:rsidR="00883F2C" w:rsidRDefault="00883F2C" w:rsidP="003C4D5B">
            <w:pPr>
              <w:spacing w:before="278" w:after="119" w:line="276" w:lineRule="auto"/>
              <w:jc w:val="center"/>
            </w:pPr>
            <w:r>
              <w:t xml:space="preserve">Elder K Lacerda Silva (MV Gás) </w:t>
            </w:r>
          </w:p>
          <w:p w14:paraId="72FF74C1" w14:textId="71039BC4" w:rsidR="00883F2C" w:rsidRPr="00EC35AF" w:rsidRDefault="00883F2C" w:rsidP="00883F2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CNPJ: 35.794.428/0001-38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D2EFDBC" w14:textId="2ED025DD" w:rsidR="00883F2C" w:rsidRPr="00EC35AF" w:rsidRDefault="00883F2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660,00</w:t>
            </w:r>
          </w:p>
        </w:tc>
      </w:tr>
    </w:tbl>
    <w:p w14:paraId="59741B61" w14:textId="7335D15E" w:rsidR="004D4113" w:rsidRPr="00EC35AF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B93EFB" w:rsidRPr="00EC35AF">
        <w:rPr>
          <w:rFonts w:ascii="Cambria" w:eastAsiaTheme="minorEastAsia" w:hAnsi="Cambria"/>
          <w:sz w:val="24"/>
          <w:szCs w:val="24"/>
          <w:lang w:eastAsia="pt-BR"/>
        </w:rPr>
        <w:t>03</w:t>
      </w:r>
      <w:r w:rsidR="004D4113" w:rsidRPr="00EC35AF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051313">
        <w:rPr>
          <w:rFonts w:ascii="Cambria" w:eastAsiaTheme="minorEastAsia" w:hAnsi="Cambria"/>
          <w:sz w:val="24"/>
          <w:szCs w:val="24"/>
          <w:lang w:eastAsia="pt-BR"/>
        </w:rPr>
        <w:t>março</w:t>
      </w:r>
      <w:r w:rsidR="0021140B" w:rsidRPr="00EC35AF">
        <w:rPr>
          <w:rFonts w:ascii="Cambria" w:eastAsiaTheme="minorEastAsia" w:hAnsi="Cambria"/>
          <w:color w:val="FF0000"/>
          <w:sz w:val="24"/>
          <w:szCs w:val="24"/>
          <w:lang w:eastAsia="pt-BR"/>
        </w:rPr>
        <w:t xml:space="preserve"> </w:t>
      </w:r>
      <w:r w:rsidR="0021140B" w:rsidRPr="00EC35AF">
        <w:rPr>
          <w:rFonts w:ascii="Cambria" w:eastAsiaTheme="minorEastAsia" w:hAnsi="Cambria"/>
          <w:sz w:val="24"/>
          <w:szCs w:val="24"/>
          <w:lang w:eastAsia="pt-BR"/>
        </w:rPr>
        <w:t>de 2023</w:t>
      </w:r>
      <w:r w:rsidR="00024842" w:rsidRPr="00EC35AF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1F51097B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C35AF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EC35AF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EC35AF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EC35AF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  <w:bookmarkStart w:id="0" w:name="_GoBack"/>
      <w:bookmarkEnd w:id="0"/>
    </w:p>
    <w:p w14:paraId="387F215D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p w14:paraId="002FCFD9" w14:textId="77777777" w:rsidR="00ED61CC" w:rsidRPr="00EC35AF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EC35AF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24842"/>
    <w:rsid w:val="00032AA2"/>
    <w:rsid w:val="000353B5"/>
    <w:rsid w:val="00043322"/>
    <w:rsid w:val="000470EA"/>
    <w:rsid w:val="00051313"/>
    <w:rsid w:val="00062B9F"/>
    <w:rsid w:val="00076968"/>
    <w:rsid w:val="00083AE4"/>
    <w:rsid w:val="0009207F"/>
    <w:rsid w:val="000F5AB3"/>
    <w:rsid w:val="00120DE2"/>
    <w:rsid w:val="001313D3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140B"/>
    <w:rsid w:val="00215681"/>
    <w:rsid w:val="0022263A"/>
    <w:rsid w:val="002228E8"/>
    <w:rsid w:val="00227C93"/>
    <w:rsid w:val="002676AD"/>
    <w:rsid w:val="002757E5"/>
    <w:rsid w:val="00282EB3"/>
    <w:rsid w:val="002D749B"/>
    <w:rsid w:val="002D78E0"/>
    <w:rsid w:val="002F2238"/>
    <w:rsid w:val="00331FC5"/>
    <w:rsid w:val="003354C0"/>
    <w:rsid w:val="00342B0E"/>
    <w:rsid w:val="0035615A"/>
    <w:rsid w:val="00394704"/>
    <w:rsid w:val="003C20AF"/>
    <w:rsid w:val="003C4A97"/>
    <w:rsid w:val="003C4D5B"/>
    <w:rsid w:val="003E7AF4"/>
    <w:rsid w:val="003F359E"/>
    <w:rsid w:val="00421010"/>
    <w:rsid w:val="00423ED4"/>
    <w:rsid w:val="00433B4A"/>
    <w:rsid w:val="00434E33"/>
    <w:rsid w:val="00452F73"/>
    <w:rsid w:val="0048599A"/>
    <w:rsid w:val="0049303C"/>
    <w:rsid w:val="00493F34"/>
    <w:rsid w:val="004A5AA4"/>
    <w:rsid w:val="004C29BA"/>
    <w:rsid w:val="004D4113"/>
    <w:rsid w:val="004D62B1"/>
    <w:rsid w:val="004E58E1"/>
    <w:rsid w:val="005036C3"/>
    <w:rsid w:val="0054072F"/>
    <w:rsid w:val="00544132"/>
    <w:rsid w:val="005511C2"/>
    <w:rsid w:val="00581EFA"/>
    <w:rsid w:val="00584130"/>
    <w:rsid w:val="0058445A"/>
    <w:rsid w:val="0058608D"/>
    <w:rsid w:val="00591934"/>
    <w:rsid w:val="005B35D7"/>
    <w:rsid w:val="005B4C84"/>
    <w:rsid w:val="005F536B"/>
    <w:rsid w:val="006075E3"/>
    <w:rsid w:val="00610FFA"/>
    <w:rsid w:val="00611664"/>
    <w:rsid w:val="00627F0B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C72A0"/>
    <w:rsid w:val="006E2104"/>
    <w:rsid w:val="006E5E71"/>
    <w:rsid w:val="006F2B4F"/>
    <w:rsid w:val="00733C63"/>
    <w:rsid w:val="00742A1F"/>
    <w:rsid w:val="007631BB"/>
    <w:rsid w:val="00772A7C"/>
    <w:rsid w:val="007734F4"/>
    <w:rsid w:val="00793DA8"/>
    <w:rsid w:val="007A6C65"/>
    <w:rsid w:val="007A6FDA"/>
    <w:rsid w:val="007B7C76"/>
    <w:rsid w:val="007D5694"/>
    <w:rsid w:val="007E67E2"/>
    <w:rsid w:val="008029DA"/>
    <w:rsid w:val="00810E23"/>
    <w:rsid w:val="00821B00"/>
    <w:rsid w:val="00825C8F"/>
    <w:rsid w:val="00835FC1"/>
    <w:rsid w:val="008570C0"/>
    <w:rsid w:val="008629C7"/>
    <w:rsid w:val="00881E74"/>
    <w:rsid w:val="00883F2C"/>
    <w:rsid w:val="00891894"/>
    <w:rsid w:val="0089202D"/>
    <w:rsid w:val="008921B4"/>
    <w:rsid w:val="008A485A"/>
    <w:rsid w:val="008B40B3"/>
    <w:rsid w:val="008B5A07"/>
    <w:rsid w:val="008D7B51"/>
    <w:rsid w:val="00911E03"/>
    <w:rsid w:val="00956751"/>
    <w:rsid w:val="00981C7E"/>
    <w:rsid w:val="009869EF"/>
    <w:rsid w:val="009A5664"/>
    <w:rsid w:val="009B55CF"/>
    <w:rsid w:val="009B7E70"/>
    <w:rsid w:val="009C7291"/>
    <w:rsid w:val="009D4C76"/>
    <w:rsid w:val="009E14EB"/>
    <w:rsid w:val="00A1307D"/>
    <w:rsid w:val="00A17986"/>
    <w:rsid w:val="00A43301"/>
    <w:rsid w:val="00A56DDD"/>
    <w:rsid w:val="00A84990"/>
    <w:rsid w:val="00A916F9"/>
    <w:rsid w:val="00AA0BF5"/>
    <w:rsid w:val="00AB0114"/>
    <w:rsid w:val="00AB2881"/>
    <w:rsid w:val="00AB3A4E"/>
    <w:rsid w:val="00AC3157"/>
    <w:rsid w:val="00AC4F2D"/>
    <w:rsid w:val="00AE25AB"/>
    <w:rsid w:val="00B1160D"/>
    <w:rsid w:val="00B16E0E"/>
    <w:rsid w:val="00B25398"/>
    <w:rsid w:val="00B42D03"/>
    <w:rsid w:val="00B463A9"/>
    <w:rsid w:val="00B54ED8"/>
    <w:rsid w:val="00B61213"/>
    <w:rsid w:val="00B84412"/>
    <w:rsid w:val="00B93EFB"/>
    <w:rsid w:val="00BA05F9"/>
    <w:rsid w:val="00BB6CD8"/>
    <w:rsid w:val="00BC67ED"/>
    <w:rsid w:val="00BF4DCC"/>
    <w:rsid w:val="00BF6364"/>
    <w:rsid w:val="00BF7963"/>
    <w:rsid w:val="00C008F6"/>
    <w:rsid w:val="00C203B9"/>
    <w:rsid w:val="00C32D67"/>
    <w:rsid w:val="00C35A02"/>
    <w:rsid w:val="00C412BE"/>
    <w:rsid w:val="00C43937"/>
    <w:rsid w:val="00C9069E"/>
    <w:rsid w:val="00CA1EBF"/>
    <w:rsid w:val="00CA3254"/>
    <w:rsid w:val="00CC2DD7"/>
    <w:rsid w:val="00CE3BA7"/>
    <w:rsid w:val="00CE58AA"/>
    <w:rsid w:val="00D078EE"/>
    <w:rsid w:val="00D1322A"/>
    <w:rsid w:val="00D14D32"/>
    <w:rsid w:val="00D42C5F"/>
    <w:rsid w:val="00D625F7"/>
    <w:rsid w:val="00DA7E8A"/>
    <w:rsid w:val="00DB1406"/>
    <w:rsid w:val="00DB48D7"/>
    <w:rsid w:val="00DB540D"/>
    <w:rsid w:val="00DB5898"/>
    <w:rsid w:val="00DC6B54"/>
    <w:rsid w:val="00DE369F"/>
    <w:rsid w:val="00E12255"/>
    <w:rsid w:val="00E40A0B"/>
    <w:rsid w:val="00E46C06"/>
    <w:rsid w:val="00E63BF8"/>
    <w:rsid w:val="00EA3CD2"/>
    <w:rsid w:val="00EC09D3"/>
    <w:rsid w:val="00EC35AF"/>
    <w:rsid w:val="00EC5741"/>
    <w:rsid w:val="00ED3CCF"/>
    <w:rsid w:val="00ED61CC"/>
    <w:rsid w:val="00EE7C32"/>
    <w:rsid w:val="00EF2C19"/>
    <w:rsid w:val="00F0048B"/>
    <w:rsid w:val="00F03478"/>
    <w:rsid w:val="00F062B7"/>
    <w:rsid w:val="00F55C98"/>
    <w:rsid w:val="00F55DD0"/>
    <w:rsid w:val="00F75F64"/>
    <w:rsid w:val="00F82E14"/>
    <w:rsid w:val="00F912B8"/>
    <w:rsid w:val="00F91B16"/>
    <w:rsid w:val="00FA3AC1"/>
    <w:rsid w:val="00FD3056"/>
    <w:rsid w:val="00FD3240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94</cp:revision>
  <dcterms:created xsi:type="dcterms:W3CDTF">2022-05-31T13:12:00Z</dcterms:created>
  <dcterms:modified xsi:type="dcterms:W3CDTF">2023-03-02T11:23:00Z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