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13" w:rsidRPr="004D4113" w:rsidRDefault="004D4113" w:rsidP="004D4113">
      <w:pPr>
        <w:spacing w:before="100" w:beforeAutospacing="1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PROCURADORIA GERAL DE JUSTIÇA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>COORDENADORIA DE LICITAÇÕES E CONTRATOS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 xml:space="preserve">Atendendo ao disposto no art. 16 da Lei nº 8.666/1993, a Coordenadoria de Licitações e Contratos vem tornar público as compras realizadas pelo MP/PI no mês de </w:t>
      </w:r>
      <w:proofErr w:type="gramStart"/>
      <w:r w:rsidR="009C7291">
        <w:rPr>
          <w:rFonts w:ascii="Cambria" w:eastAsia="Times New Roman" w:hAnsi="Cambria" w:cs="Calibri"/>
          <w:b/>
          <w:bCs/>
          <w:sz w:val="24"/>
          <w:szCs w:val="24"/>
          <w:lang w:eastAsia="pt-BR"/>
        </w:rPr>
        <w:t>Març</w:t>
      </w:r>
      <w:r w:rsidRPr="004D4113">
        <w:rPr>
          <w:rFonts w:ascii="Cambria" w:eastAsia="Times New Roman" w:hAnsi="Cambria" w:cs="Calibri"/>
          <w:b/>
          <w:bCs/>
          <w:sz w:val="24"/>
          <w:szCs w:val="24"/>
          <w:lang w:eastAsia="pt-BR"/>
        </w:rPr>
        <w:t>o</w:t>
      </w:r>
      <w:proofErr w:type="gramEnd"/>
      <w:r w:rsidRPr="004D4113">
        <w:rPr>
          <w:rFonts w:ascii="Cambria" w:eastAsia="Times New Roman" w:hAnsi="Cambria" w:cs="Calibri"/>
          <w:b/>
          <w:bCs/>
          <w:sz w:val="24"/>
          <w:szCs w:val="24"/>
          <w:lang w:eastAsia="pt-BR"/>
        </w:rPr>
        <w:t>/</w:t>
      </w:r>
      <w:r w:rsidRPr="004D4113">
        <w:rPr>
          <w:rFonts w:ascii="Cambria" w:eastAsia="Times New Roman" w:hAnsi="Cambria" w:cs="Calibri"/>
          <w:b/>
          <w:bCs/>
          <w:sz w:val="24"/>
          <w:szCs w:val="24"/>
          <w:u w:val="single"/>
          <w:lang w:eastAsia="pt-BR"/>
        </w:rPr>
        <w:t>2022</w:t>
      </w: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>.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>Compras/empenhos/contratações por licitação/registro de preços/dispensa/inexigibilidade/adesão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tbl>
      <w:tblPr>
        <w:tblW w:w="14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9"/>
        <w:gridCol w:w="1935"/>
        <w:gridCol w:w="2585"/>
        <w:gridCol w:w="1603"/>
        <w:gridCol w:w="2061"/>
        <w:gridCol w:w="2031"/>
        <w:gridCol w:w="1386"/>
      </w:tblGrid>
      <w:tr w:rsidR="00670988" w:rsidRPr="004D4113" w:rsidTr="00EE7C32">
        <w:trPr>
          <w:tblCellSpacing w:w="0" w:type="dxa"/>
        </w:trPr>
        <w:tc>
          <w:tcPr>
            <w:tcW w:w="2649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3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8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603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206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3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386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665B51" w:rsidRPr="00670988" w:rsidTr="00EE7C32">
        <w:trPr>
          <w:tblCellSpacing w:w="0" w:type="dxa"/>
        </w:trPr>
        <w:tc>
          <w:tcPr>
            <w:tcW w:w="2649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Pr="00670988" w:rsidRDefault="009C7291" w:rsidP="004D4113">
            <w:pPr>
              <w:spacing w:before="278" w:after="119" w:line="276" w:lineRule="auto"/>
              <w:jc w:val="center"/>
            </w:pPr>
            <w:r>
              <w:t>19.21.0014.0012765 /2021-62</w:t>
            </w:r>
          </w:p>
        </w:tc>
        <w:tc>
          <w:tcPr>
            <w:tcW w:w="1935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9C7291" w:rsidP="00670988">
            <w:pPr>
              <w:spacing w:before="278" w:after="119" w:line="276" w:lineRule="auto"/>
              <w:jc w:val="center"/>
            </w:pPr>
            <w:r>
              <w:t>Pregão Eletrônico n° 04/2022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Pr="00670988" w:rsidRDefault="009C7291" w:rsidP="008921B4">
            <w:pPr>
              <w:spacing w:before="278" w:after="119" w:line="276" w:lineRule="auto"/>
            </w:pPr>
            <w:r>
              <w:t xml:space="preserve">Contratação da empresa Gralha Elevadores </w:t>
            </w:r>
            <w:proofErr w:type="spellStart"/>
            <w:r>
              <w:t>Ltda</w:t>
            </w:r>
            <w:proofErr w:type="spellEnd"/>
            <w:r>
              <w:t>, CNPJ: 21.169.089/0001-94, especializada para a prestação dos serviços de manutenção preventiva e corretiva, com fornecimento de quaisquer componentes/peças novos (primeiro uso) para 4 (quatro) elevadores em uso no Ministério Público do Estado do Piauí - MPPI, conforme especificações contidas no termo de referência (anexo i do edital) e pregão eletrônico nº 04/2022, alusivo aos serviços de manutenção corretiva e preventiva dos elevadores, para período de 12 de maio de 2022 a 31 de dezembro de 2022.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Pr="004D4113" w:rsidRDefault="009C7291" w:rsidP="00665B5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2022NE00165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="00665B51"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665B51" w:rsidRPr="004D4113" w:rsidRDefault="00665B51" w:rsidP="00665B5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="009C7291">
              <w:rPr>
                <w:rFonts w:ascii="Calibri" w:eastAsia="Times New Roman" w:hAnsi="Calibri" w:cs="Calibri"/>
                <w:lang w:eastAsia="pt-BR"/>
              </w:rPr>
              <w:t>25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665B51" w:rsidRPr="00670988" w:rsidRDefault="00665B51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  <w:p w:rsidR="00E12255" w:rsidRPr="00670988" w:rsidRDefault="00E12255" w:rsidP="009C7291">
            <w:pPr>
              <w:spacing w:before="278" w:after="119" w:line="276" w:lineRule="auto"/>
              <w:jc w:val="center"/>
            </w:pPr>
          </w:p>
        </w:tc>
        <w:tc>
          <w:tcPr>
            <w:tcW w:w="2031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9C7291" w:rsidP="004D4113">
            <w:pPr>
              <w:spacing w:before="278" w:after="119" w:line="276" w:lineRule="auto"/>
              <w:jc w:val="center"/>
            </w:pPr>
            <w:r>
              <w:t xml:space="preserve">Gralha Elevadores </w:t>
            </w:r>
            <w:proofErr w:type="spellStart"/>
            <w:r>
              <w:t>Ltda</w:t>
            </w:r>
            <w:proofErr w:type="spellEnd"/>
            <w:r>
              <w:t>,</w:t>
            </w:r>
          </w:p>
          <w:p w:rsidR="009C7291" w:rsidRPr="00670988" w:rsidRDefault="009C7291" w:rsidP="004D4113">
            <w:pPr>
              <w:spacing w:before="278" w:after="119" w:line="276" w:lineRule="auto"/>
              <w:jc w:val="center"/>
            </w:pPr>
            <w:r>
              <w:t>CNPJ: 21.169.089/0001-94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65B51" w:rsidRPr="00670988" w:rsidRDefault="009C7291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30.166,93</w:t>
            </w:r>
          </w:p>
        </w:tc>
      </w:tr>
      <w:tr w:rsidR="009C7291" w:rsidRPr="00670988" w:rsidTr="00EE7C32">
        <w:trPr>
          <w:tblCellSpacing w:w="0" w:type="dxa"/>
        </w:trPr>
        <w:tc>
          <w:tcPr>
            <w:tcW w:w="2649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</w:p>
        </w:tc>
        <w:tc>
          <w:tcPr>
            <w:tcW w:w="1935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670988" w:rsidRDefault="009C7291" w:rsidP="009C7291">
            <w:pPr>
              <w:spacing w:before="278" w:after="119" w:line="276" w:lineRule="auto"/>
            </w:pPr>
            <w:r>
              <w:t xml:space="preserve">Contratação da empresa Gralha Elevadores </w:t>
            </w:r>
            <w:proofErr w:type="spellStart"/>
            <w:r>
              <w:t>Ltda</w:t>
            </w:r>
            <w:proofErr w:type="spellEnd"/>
            <w:r>
              <w:t>, CNPJ: 21.169.089/0001-94, especializada para a prestação dos serviços de manutenção preventiva e corretiva, com fornecimento de quaisquer componentes/peças novos (primeiro uso) para 4 (quatro) elevadores em uso no Ministério Público do Estado do Piauí - MPPI, conforme especificações contidas no termo de referência (anexo i do edital) e pregão eletrônico nº 04/2022, alusivo à estimativa para atender possíveis aquisições de peças quando da necessidade de manutenção corretiva, para período de 12 de maio de 2022 a 31 de dezembro de 2022.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4D4113" w:rsidRDefault="009C7291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2022NE00166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 (PGJ) </w:t>
            </w:r>
          </w:p>
          <w:p w:rsidR="009C7291" w:rsidRPr="004D4113" w:rsidRDefault="009C7291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25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9C7291" w:rsidRDefault="009C7291" w:rsidP="009C7291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:rsidR="009C7291" w:rsidRDefault="009C7291" w:rsidP="009C7291">
            <w:pPr>
              <w:spacing w:before="278" w:after="119" w:line="276" w:lineRule="auto"/>
              <w:jc w:val="center"/>
            </w:pPr>
          </w:p>
          <w:p w:rsidR="009C7291" w:rsidRDefault="009C7291" w:rsidP="009C7291">
            <w:pPr>
              <w:spacing w:before="278" w:after="119" w:line="276" w:lineRule="auto"/>
              <w:jc w:val="center"/>
            </w:pPr>
          </w:p>
        </w:tc>
        <w:tc>
          <w:tcPr>
            <w:tcW w:w="2031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t>R$ 31.805,56</w:t>
            </w:r>
          </w:p>
        </w:tc>
      </w:tr>
      <w:tr w:rsidR="009C7291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  <w:r>
              <w:t>19.21.0010.0015811 /2021-39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</w:pPr>
            <w:r>
              <w:t>Dispensa nº 07/2022 (Art. 24, II da Lei nº 8.666/93)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9C7291" w:rsidP="00E46C06">
            <w:pPr>
              <w:spacing w:before="278" w:after="119" w:line="276" w:lineRule="auto"/>
            </w:pPr>
            <w:r>
              <w:t xml:space="preserve">Contratação da empresa </w:t>
            </w:r>
            <w:proofErr w:type="spellStart"/>
            <w:r>
              <w:t>Suelma</w:t>
            </w:r>
            <w:proofErr w:type="spellEnd"/>
            <w:r>
              <w:t xml:space="preserve"> da Silva Santiago, CNPJ: 42.402.309/0001-58, especializada na prestação de serviços para elaboração do plano de gerenciamento de resíduos sólidos (</w:t>
            </w:r>
            <w:r w:rsidR="00E46C06">
              <w:t>PGRS</w:t>
            </w:r>
            <w:r>
              <w:t xml:space="preserve">) nas sedes do </w:t>
            </w:r>
            <w:r w:rsidR="00E46C06">
              <w:t xml:space="preserve">Ministério Público do Estado do Piauí </w:t>
            </w:r>
            <w:r>
              <w:t xml:space="preserve">- </w:t>
            </w:r>
            <w:r w:rsidR="00E46C06">
              <w:t>MPPI em T</w:t>
            </w:r>
            <w:r>
              <w:t>eresina-</w:t>
            </w:r>
            <w:r w:rsidR="00E46C06">
              <w:t>PI</w:t>
            </w:r>
            <w:r>
              <w:t xml:space="preserve">, conforme dispensa nº 07/2022 (art. 24, </w:t>
            </w:r>
            <w:r w:rsidR="00E46C06">
              <w:t>II</w:t>
            </w:r>
            <w:r>
              <w:t xml:space="preserve"> da lei nº 8.666/93)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4D4113" w:rsidRDefault="00E46C06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2022NE00198 </w:t>
            </w:r>
            <w:r w:rsidR="009C7291">
              <w:rPr>
                <w:rFonts w:ascii="Calibri" w:eastAsia="Times New Roman" w:hAnsi="Calibri" w:cs="Calibri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lang w:eastAsia="pt-BR"/>
              </w:rPr>
              <w:t>PGJ</w:t>
            </w:r>
            <w:r w:rsidR="009C7291" w:rsidRPr="004D4113">
              <w:rPr>
                <w:rFonts w:ascii="Calibri" w:eastAsia="Times New Roman" w:hAnsi="Calibri" w:cs="Calibri"/>
                <w:lang w:eastAsia="pt-BR"/>
              </w:rPr>
              <w:t xml:space="preserve">) </w:t>
            </w:r>
          </w:p>
          <w:p w:rsidR="009C7291" w:rsidRPr="004D4113" w:rsidRDefault="009C7291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="00E46C06">
              <w:rPr>
                <w:rFonts w:ascii="Calibri" w:eastAsia="Times New Roman" w:hAnsi="Calibri" w:cs="Calibri"/>
                <w:lang w:eastAsia="pt-BR"/>
              </w:rPr>
              <w:t>17/03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9C7291" w:rsidRDefault="009C7291" w:rsidP="009C7291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46C06" w:rsidRDefault="00E46C06" w:rsidP="009C7291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  <w:p w:rsidR="009C7291" w:rsidRDefault="00E46C06" w:rsidP="00E46C06">
            <w:pPr>
              <w:spacing w:before="278" w:after="119" w:line="276" w:lineRule="auto"/>
              <w:jc w:val="center"/>
            </w:pPr>
            <w:r>
              <w:t>51 - Serviços técnicos profissionais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46C06" w:rsidRDefault="00E46C06" w:rsidP="009C7291">
            <w:pPr>
              <w:spacing w:before="278" w:after="119" w:line="276" w:lineRule="auto"/>
              <w:jc w:val="center"/>
            </w:pPr>
            <w:proofErr w:type="spellStart"/>
            <w:r>
              <w:t>Suelma</w:t>
            </w:r>
            <w:proofErr w:type="spellEnd"/>
            <w:r>
              <w:t xml:space="preserve"> da Silva Santiago, </w:t>
            </w:r>
          </w:p>
          <w:p w:rsidR="009C7291" w:rsidRDefault="00E46C06" w:rsidP="009C7291">
            <w:pPr>
              <w:spacing w:before="278" w:after="119" w:line="276" w:lineRule="auto"/>
              <w:jc w:val="center"/>
            </w:pPr>
            <w:r>
              <w:t>CNPJ: 42.402.309/0001-58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C7291" w:rsidRDefault="00E46C06" w:rsidP="009C7291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9.750,00</w:t>
            </w:r>
          </w:p>
        </w:tc>
      </w:tr>
      <w:tr w:rsidR="009C7291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E46C06" w:rsidP="009C7291">
            <w:pPr>
              <w:spacing w:before="278" w:after="119" w:line="276" w:lineRule="auto"/>
              <w:jc w:val="center"/>
            </w:pPr>
            <w:r>
              <w:t>19.21.0428.0004575 /2022-27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E46C06" w:rsidP="009C7291">
            <w:pPr>
              <w:spacing w:before="278" w:after="119" w:line="276" w:lineRule="auto"/>
              <w:jc w:val="center"/>
            </w:pPr>
            <w:r>
              <w:t>Dispensa nº 05/2022 (Art. 24, II da Lei nº 8.666/93)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E46C06" w:rsidP="00E46C06">
            <w:pPr>
              <w:spacing w:before="278" w:after="119" w:line="276" w:lineRule="auto"/>
            </w:pPr>
            <w:r>
              <w:t xml:space="preserve">Aquisição de recargas dos botijões de gás liquefeito de petróleo, GLP, tipo GLP Butano, capacidade 13kg, pressão vapor P-13, ponto máximo ebulição 2, teor máximo enxofre volátil 0,36, </w:t>
            </w:r>
            <w:proofErr w:type="spellStart"/>
            <w:r>
              <w:t>corrosividade</w:t>
            </w:r>
            <w:proofErr w:type="spellEnd"/>
            <w:r>
              <w:t xml:space="preserve"> máxima 1, NBR 8614, volume 31,5 litros, uso doméstico para cozimento de alimentos afim de atender ao Núcleo das Promotorias de Justiça de Batalha-PI, firmado com a empresa Comercio Carvalho </w:t>
            </w:r>
            <w:proofErr w:type="spellStart"/>
            <w:r>
              <w:t>Ltda</w:t>
            </w:r>
            <w:proofErr w:type="spellEnd"/>
            <w:r>
              <w:t>, CNPJ: 06.511.885/0010-60, conforme dispensa nº 05/2022 (art. 24, II da Lei nº 8.666 /93).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4D4113" w:rsidRDefault="00E46C06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2022NE00211 </w:t>
            </w:r>
            <w:r w:rsidR="009C7291"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9C7291" w:rsidRPr="004D4113" w:rsidRDefault="009C7291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="00E46C06">
              <w:rPr>
                <w:rFonts w:ascii="Calibri" w:eastAsia="Times New Roman" w:hAnsi="Calibri" w:cs="Calibri"/>
                <w:lang w:eastAsia="pt-BR"/>
              </w:rPr>
              <w:t>21/03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9C7291" w:rsidRDefault="009C7291" w:rsidP="009C7291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46C06" w:rsidRDefault="00E46C06" w:rsidP="00E46C06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:rsidR="009C7291" w:rsidRDefault="00E46C06" w:rsidP="00E46C06">
            <w:pPr>
              <w:spacing w:before="278" w:after="119" w:line="276" w:lineRule="auto"/>
              <w:jc w:val="center"/>
            </w:pPr>
            <w:r>
              <w:t>03 - Gás e outros materiais engarrafados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E46C06" w:rsidP="009C7291">
            <w:pPr>
              <w:spacing w:before="278" w:after="119" w:line="276" w:lineRule="auto"/>
              <w:jc w:val="center"/>
            </w:pPr>
            <w:r>
              <w:t xml:space="preserve">Comercio Carvalho </w:t>
            </w:r>
            <w:proofErr w:type="spellStart"/>
            <w:r>
              <w:t>Ltda</w:t>
            </w:r>
            <w:proofErr w:type="spellEnd"/>
            <w:r>
              <w:t>, CNPJ: 06.511.885/0010-60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C7291" w:rsidRDefault="009C7291" w:rsidP="009C7291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 w:rsidR="00E46C06">
              <w:t>327,00</w:t>
            </w:r>
          </w:p>
        </w:tc>
      </w:tr>
      <w:tr w:rsidR="009C7291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4D4113" w:rsidRDefault="00E46C06" w:rsidP="009C7291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19.21.0428.0007142 /2022-73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46C06" w:rsidRPr="004D4113" w:rsidRDefault="009C7291" w:rsidP="00E46C06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Pregão Eletrônico nº </w:t>
            </w:r>
            <w:r w:rsidR="00E46C06">
              <w:t>06</w:t>
            </w:r>
            <w:r>
              <w:t xml:space="preserve">/2021-SRP -Ata de Registro de Preços nº </w:t>
            </w:r>
            <w:r w:rsidR="00E46C06">
              <w:t>11/2021(Lotes: I e II)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4D4113" w:rsidRDefault="008B5A07" w:rsidP="008B5A07">
            <w:pPr>
              <w:spacing w:before="278" w:after="119" w:line="276" w:lineRule="auto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Aquisição dos materiais de construção, manutenção predial, estrutural e ferramentas para a Procuradoria-Geral de Justiça, Procuradorias de Justiça, Corregedoria Geral de Justiça, Promotorias de Justiça, Centros de Apoios Operacionais e demais órgãos e sedes do MPPI-(ARP nº 11/2021- P.E. nº 06/2021-lotes: I e II), mem. Cálc. (sei - 0204929), firmado com a empresa C.L.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- EPP, CNPJ: 07.239.237/0001-79, conforme Pregão Eletrônico nº 06/2021, ARP nº 11/2021 (lotes: I e II).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Default="008B5A07" w:rsidP="009C7291">
            <w:pPr>
              <w:spacing w:before="278" w:after="198" w:line="276" w:lineRule="auto"/>
              <w:jc w:val="center"/>
            </w:pPr>
            <w:r>
              <w:t>2022NE00213</w:t>
            </w:r>
          </w:p>
          <w:p w:rsidR="009C7291" w:rsidRPr="004D4113" w:rsidRDefault="009C7291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(</w:t>
            </w:r>
            <w:r w:rsidR="008B5A07">
              <w:rPr>
                <w:rFonts w:ascii="Calibri" w:eastAsia="Times New Roman" w:hAnsi="Calibri" w:cs="Calibri"/>
                <w:lang w:eastAsia="pt-BR"/>
              </w:rPr>
              <w:t>PGJ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) </w:t>
            </w:r>
          </w:p>
          <w:p w:rsidR="008B5A07" w:rsidRPr="004D4113" w:rsidRDefault="008B5A07" w:rsidP="008B5A07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21/03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9C7291" w:rsidRPr="004D4113" w:rsidRDefault="009C7291" w:rsidP="009C729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Default="008B5A07" w:rsidP="008B5A07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:rsidR="009C7291" w:rsidRPr="004D4113" w:rsidRDefault="009C7291" w:rsidP="009C7291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C7291" w:rsidRPr="004D4113" w:rsidRDefault="008B5A07" w:rsidP="009C7291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C.L.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- EPP, CNPJ: 07.239.237/0001-79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C7291" w:rsidRPr="004D4113" w:rsidRDefault="008B5A07" w:rsidP="009C7291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35.189,93</w:t>
            </w:r>
          </w:p>
        </w:tc>
      </w:tr>
      <w:tr w:rsidR="008B5A07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Default="008B5A07" w:rsidP="008B5A07">
            <w:pPr>
              <w:spacing w:before="278" w:after="119" w:line="276" w:lineRule="auto"/>
              <w:jc w:val="center"/>
            </w:pPr>
            <w:r>
              <w:t>19.21.0428.0007041 /2022-84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Default="008B5A07" w:rsidP="008B5A07">
            <w:pPr>
              <w:spacing w:before="278" w:after="119" w:line="276" w:lineRule="auto"/>
              <w:jc w:val="center"/>
            </w:pPr>
            <w:r>
              <w:t>Pregão Eletrônico nº 10/2021-SRP -Ata de Registro de Preços nº 16/2021(Lotes: I e II)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Default="008B5A07" w:rsidP="008B5A07">
            <w:pPr>
              <w:spacing w:before="278" w:after="119" w:line="276" w:lineRule="auto"/>
            </w:pPr>
            <w:r>
              <w:t xml:space="preserve">Aquisição de materiais de consumo: açúcar cristal, adoçante dietético, café torrado, bem como materiais de expediente, produtos de higiene e limpeza para este MPPI, firmado com a empresa C.L.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- EPP, CNPJ: 07.239.237/0001-79, conforme termo de referência (anexo I do edital), memória de cálculo - sei nº 0204706 e ARP nº 16/2021 - P.E. nº 10/2021, lotes I e II.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Pr="004D4113" w:rsidRDefault="008B5A07" w:rsidP="008B5A07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2022NE00214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 (PGJ) </w:t>
            </w:r>
          </w:p>
          <w:p w:rsidR="008B5A07" w:rsidRPr="004D4113" w:rsidRDefault="008B5A07" w:rsidP="008B5A07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21/03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8B5A07" w:rsidRDefault="008B5A07" w:rsidP="008B5A07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Default="008B5A07" w:rsidP="008B5A07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  <w:p w:rsidR="008B5A07" w:rsidRPr="004D4113" w:rsidRDefault="008B5A07" w:rsidP="008B5A07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B5A07" w:rsidRPr="004D4113" w:rsidRDefault="008B5A07" w:rsidP="008B5A07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C.L.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- EPP, CNPJ: 07.239.237/0001-79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B5A07" w:rsidRDefault="008B5A07" w:rsidP="008B5A07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27.603,56</w:t>
            </w:r>
          </w:p>
        </w:tc>
      </w:tr>
      <w:tr w:rsidR="00F55DD0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>19.21.0427.0006664 /2022-93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>Pregão Eletrônico de nº 17/2021- SRP-Ata De Registro de Preços nº 27/2021, Lote IV</w:t>
            </w:r>
            <w:r>
              <w:t>.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9869EF" w:rsidP="00EE7C32">
            <w:pPr>
              <w:spacing w:before="278" w:after="119" w:line="276" w:lineRule="auto"/>
            </w:pPr>
            <w:r>
              <w:t xml:space="preserve">Contratação da empresa World </w:t>
            </w:r>
            <w:proofErr w:type="spellStart"/>
            <w:r>
              <w:t>Cam</w:t>
            </w:r>
            <w:proofErr w:type="spellEnd"/>
            <w:r>
              <w:t xml:space="preserve"> Brasil </w:t>
            </w:r>
            <w:proofErr w:type="spellStart"/>
            <w:r>
              <w:t>Eletroeletronico</w:t>
            </w:r>
            <w:proofErr w:type="spellEnd"/>
            <w:r>
              <w:t xml:space="preserve"> </w:t>
            </w:r>
            <w:proofErr w:type="spellStart"/>
            <w:r>
              <w:t>Eireli</w:t>
            </w:r>
            <w:proofErr w:type="spellEnd"/>
            <w:r>
              <w:t xml:space="preserve"> - EPP, CNPJ: 26.167.868/0001-74, conforme aquisição de material permanente (kit motor para portão eletrônico 1/4 HP </w:t>
            </w:r>
            <w:proofErr w:type="spellStart"/>
            <w:r>
              <w:t>automatizador</w:t>
            </w:r>
            <w:proofErr w:type="spellEnd"/>
            <w:r>
              <w:t xml:space="preserve"> deslizante), para este MPPI alusivo as especificações contidas no termo de referência, anexo I do edital e pregão eletrônico de nº 17/2021-SRP-ata de registro de preços nº 27/2021, lote </w:t>
            </w:r>
            <w:r>
              <w:t>IV.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9869EF" w:rsidP="00EE7C32">
            <w:pPr>
              <w:spacing w:before="278" w:after="198" w:line="276" w:lineRule="auto"/>
              <w:jc w:val="center"/>
            </w:pPr>
            <w:r>
              <w:t>2022NE00236</w:t>
            </w:r>
          </w:p>
          <w:p w:rsidR="009869EF" w:rsidRPr="004D4113" w:rsidRDefault="009869EF" w:rsidP="009869EF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9869EF" w:rsidRPr="004D4113" w:rsidRDefault="009869EF" w:rsidP="009869EF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23</w:t>
            </w:r>
            <w:r>
              <w:rPr>
                <w:rFonts w:ascii="Calibri" w:eastAsia="Times New Roman" w:hAnsi="Calibri" w:cs="Calibri"/>
                <w:lang w:eastAsia="pt-BR"/>
              </w:rPr>
              <w:t>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9869EF" w:rsidRDefault="009869EF" w:rsidP="00EE7C32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9869EF" w:rsidP="008B5A07">
            <w:pPr>
              <w:spacing w:before="278" w:after="119" w:line="276" w:lineRule="auto"/>
              <w:jc w:val="center"/>
            </w:pPr>
            <w:r>
              <w:t>4</w:t>
            </w:r>
            <w:r>
              <w:t>.</w:t>
            </w:r>
            <w:r>
              <w:t>4</w:t>
            </w:r>
            <w:r>
              <w:t>.</w:t>
            </w:r>
            <w:r>
              <w:t>90</w:t>
            </w:r>
            <w:r>
              <w:t>.</w:t>
            </w:r>
            <w:r>
              <w:t>52 - Equipamentos e Material Permanente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9869EF" w:rsidP="008B5A07">
            <w:pPr>
              <w:spacing w:before="278" w:after="119" w:line="276" w:lineRule="auto"/>
              <w:jc w:val="center"/>
            </w:pPr>
            <w:r>
              <w:t xml:space="preserve">World </w:t>
            </w:r>
            <w:proofErr w:type="spellStart"/>
            <w:r>
              <w:t>Cam</w:t>
            </w:r>
            <w:proofErr w:type="spellEnd"/>
            <w:r>
              <w:t xml:space="preserve"> Brasil </w:t>
            </w:r>
            <w:proofErr w:type="spellStart"/>
            <w:r>
              <w:t>Eletroeletronico</w:t>
            </w:r>
            <w:proofErr w:type="spellEnd"/>
            <w:r>
              <w:t xml:space="preserve"> </w:t>
            </w:r>
            <w:proofErr w:type="spellStart"/>
            <w:r>
              <w:t>Eireli</w:t>
            </w:r>
            <w:proofErr w:type="spellEnd"/>
            <w:r>
              <w:t xml:space="preserve"> - EPP, CNPJ: 26.167.868/0001-74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55DD0" w:rsidRDefault="009869EF" w:rsidP="008B5A07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1.968,92</w:t>
            </w:r>
          </w:p>
        </w:tc>
      </w:tr>
      <w:tr w:rsidR="00EE7C32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  <w:jc w:val="center"/>
            </w:pPr>
            <w:r>
              <w:t>19.21.0010.0007734 /2022-59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  <w:jc w:val="center"/>
            </w:pPr>
            <w:r>
              <w:t>Dispensa nº 11/2022.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EE7C32">
            <w:pPr>
              <w:spacing w:before="278" w:after="119" w:line="276" w:lineRule="auto"/>
            </w:pPr>
            <w:r>
              <w:t xml:space="preserve">Aquisição de 80 (oitenta) chapas de zinco 28 80cm (2,8kg/m) para realização dos reparos no telhado do imóvel localizado no Núcleo das Promotorias de Justiça de Parnaíba deste MPPI conforme dispensa nº 11/ 2022, Firmado Piauí Materiais de Construções </w:t>
            </w:r>
            <w:proofErr w:type="spellStart"/>
            <w:r>
              <w:t>Ltda</w:t>
            </w:r>
            <w:proofErr w:type="spellEnd"/>
            <w:r>
              <w:t xml:space="preserve"> EPP, CNPJ: 34.922.743/0003-00, com e com fundamento no art. 24, II, da Lei n. 8.666/93 e suas alterações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EE7C32">
            <w:pPr>
              <w:spacing w:before="278" w:after="198" w:line="276" w:lineRule="auto"/>
              <w:jc w:val="center"/>
            </w:pPr>
            <w:r>
              <w:t>2022NE00239</w:t>
            </w:r>
          </w:p>
          <w:p w:rsidR="00EE7C32" w:rsidRPr="004D4113" w:rsidRDefault="00EE7C32" w:rsidP="00EE7C32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EE7C32" w:rsidRPr="004D4113" w:rsidRDefault="00EE7C32" w:rsidP="00EE7C32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25</w:t>
            </w:r>
            <w:r>
              <w:rPr>
                <w:rFonts w:ascii="Calibri" w:eastAsia="Times New Roman" w:hAnsi="Calibri" w:cs="Calibri"/>
                <w:lang w:eastAsia="pt-BR"/>
              </w:rPr>
              <w:t>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EE7C32" w:rsidRDefault="00EE7C32" w:rsidP="00EE7C32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F55DD0" w:rsidP="008B5A07">
            <w:pPr>
              <w:spacing w:before="278" w:after="119" w:line="276" w:lineRule="auto"/>
              <w:jc w:val="center"/>
            </w:pPr>
            <w:r>
              <w:t>4</w:t>
            </w:r>
            <w:r>
              <w:t>.</w:t>
            </w:r>
            <w:r>
              <w:t>4</w:t>
            </w:r>
            <w:r>
              <w:t>.</w:t>
            </w:r>
            <w:r>
              <w:t>90</w:t>
            </w:r>
            <w:r>
              <w:t>.</w:t>
            </w:r>
            <w:r>
              <w:t>52 - Equipamentos e Material Permanente</w:t>
            </w:r>
          </w:p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 xml:space="preserve">15 - </w:t>
            </w:r>
            <w:r>
              <w:t>equipamentos, peças e acessórios de proteção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F55DD0" w:rsidP="008B5A07">
            <w:pPr>
              <w:spacing w:before="278" w:after="119" w:line="276" w:lineRule="auto"/>
              <w:jc w:val="center"/>
            </w:pPr>
            <w:r>
              <w:t xml:space="preserve">Piauí Materiais de Construções </w:t>
            </w:r>
            <w:proofErr w:type="spellStart"/>
            <w:r>
              <w:t>Ltda</w:t>
            </w:r>
            <w:proofErr w:type="spellEnd"/>
            <w:r>
              <w:t xml:space="preserve"> EPP, CNPJ: 34.922.743/0003-00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7C32" w:rsidRDefault="00F55DD0" w:rsidP="008B5A07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3.400,00</w:t>
            </w:r>
          </w:p>
        </w:tc>
      </w:tr>
      <w:tr w:rsidR="00F55DD0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>19.21.0010.0006387 /2022-53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>Pregão Eletrônico de nº 40/2021- SRP-Ata de Registro de Preços nº 01/2022, Lote Único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F55DD0">
            <w:pPr>
              <w:spacing w:before="278" w:after="119" w:line="276" w:lineRule="auto"/>
            </w:pPr>
            <w:r>
              <w:t xml:space="preserve">Contratação da empresa Clarear Comércio e Serviço de Mão de Obra - </w:t>
            </w:r>
            <w:proofErr w:type="spellStart"/>
            <w:r>
              <w:t>Eireli</w:t>
            </w:r>
            <w:proofErr w:type="spellEnd"/>
            <w:r>
              <w:t>, CNPJ: 02.567.270/0001-04, para prestação dos serviços continuados de motorista categoria b (condução de veículo leve) e recepcionista para a cidade de Teresina-PI, através da ata de registro de preços n° 01/2022, P.E. nº 40/2021 (lote único) lei nº 10.520/02, nº 8.666/93 e Decreto Estadual nº 11.346/04.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EE7C32">
            <w:pPr>
              <w:spacing w:before="278" w:after="198" w:line="276" w:lineRule="auto"/>
              <w:jc w:val="center"/>
            </w:pPr>
            <w:r>
              <w:t>2022NE00252</w:t>
            </w:r>
          </w:p>
          <w:p w:rsidR="00F55DD0" w:rsidRPr="004D4113" w:rsidRDefault="00F55DD0" w:rsidP="00F55DD0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F55DD0" w:rsidRPr="004D4113" w:rsidRDefault="00F55DD0" w:rsidP="00F55DD0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25/03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F55DD0" w:rsidRDefault="00F55DD0" w:rsidP="00EE7C32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37 - Locação de Mão-de-Obra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</w:pPr>
            <w:r>
              <w:t xml:space="preserve">Clarear Comércio e Serviço de Mão de Obra - </w:t>
            </w:r>
            <w:proofErr w:type="spellStart"/>
            <w:r>
              <w:t>Eireli</w:t>
            </w:r>
            <w:proofErr w:type="spellEnd"/>
            <w:r>
              <w:t>, CNPJ: 02.567.270/0001-04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55DD0" w:rsidRDefault="00F55DD0" w:rsidP="008B5A07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148.407,03</w:t>
            </w:r>
          </w:p>
        </w:tc>
      </w:tr>
      <w:tr w:rsidR="00EE7C32" w:rsidRPr="004D4113" w:rsidTr="00EE7C32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  <w:jc w:val="center"/>
            </w:pPr>
            <w:r>
              <w:t>19.21.0006.0007287 /2022-63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C7727E" w:rsidP="008B5A07">
            <w:pPr>
              <w:spacing w:before="278" w:after="119" w:line="276" w:lineRule="auto"/>
              <w:jc w:val="center"/>
            </w:pPr>
            <w:r>
              <w:t>Inexigibilidade nº 04/2022, art. 25, II da Lei nº 8.666/93 e suas alterações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</w:pPr>
            <w:r>
              <w:t xml:space="preserve">Contratação da empresa </w:t>
            </w:r>
            <w:proofErr w:type="spellStart"/>
            <w:r>
              <w:t>Kretzer</w:t>
            </w:r>
            <w:proofErr w:type="spellEnd"/>
            <w:r>
              <w:t xml:space="preserve"> &amp; Coelho de Organização de Feiras </w:t>
            </w:r>
            <w:proofErr w:type="spellStart"/>
            <w:r>
              <w:t>Ltda</w:t>
            </w:r>
            <w:proofErr w:type="spellEnd"/>
            <w:r>
              <w:t>, CNPJ: 11.179.644/0001-05, com o objetivo correspondente à capacitação sobre o Processo de Entrevista da Escuta Especializada de crianças e adolescentes vítimas e/ou testemunhas de violência com a inscrição de 03 (três) servidoras do MPPI conforme inexigibilidade nº 04/2022, art. 25, II da Lei nº 8.666/93 e suas alterações.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Pr="004D4113" w:rsidRDefault="00EE7C32" w:rsidP="00EE7C32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2022NE00265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 (PGJ) </w:t>
            </w:r>
          </w:p>
          <w:p w:rsidR="00EE7C32" w:rsidRPr="004D4113" w:rsidRDefault="00EE7C32" w:rsidP="00EE7C32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30</w:t>
            </w:r>
            <w:r>
              <w:rPr>
                <w:rFonts w:ascii="Calibri" w:eastAsia="Times New Roman" w:hAnsi="Calibri" w:cs="Calibri"/>
                <w:lang w:eastAsia="pt-BR"/>
              </w:rPr>
              <w:t>/03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EE7C32" w:rsidRDefault="00EE7C32" w:rsidP="008B5A07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  <w:jc w:val="center"/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39 - Outros Serviços de Terceiros - Pessoa Jurídica</w:t>
            </w:r>
          </w:p>
          <w:p w:rsidR="00EE7C32" w:rsidRDefault="00EE7C32" w:rsidP="008B5A07">
            <w:pPr>
              <w:spacing w:before="278" w:after="119" w:line="276" w:lineRule="auto"/>
              <w:jc w:val="center"/>
            </w:pPr>
            <w:r>
              <w:t xml:space="preserve">30 - </w:t>
            </w:r>
            <w:r>
              <w:t>Seleção e Treinamento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  <w:jc w:val="center"/>
            </w:pPr>
            <w:proofErr w:type="spellStart"/>
            <w:r>
              <w:t>Kretzer</w:t>
            </w:r>
            <w:proofErr w:type="spellEnd"/>
            <w:r>
              <w:t xml:space="preserve"> &amp; Coelho de Organização de Feiras </w:t>
            </w:r>
            <w:proofErr w:type="spellStart"/>
            <w:r>
              <w:t>Ltda</w:t>
            </w:r>
            <w:proofErr w:type="spellEnd"/>
            <w:r>
              <w:t>, CNPJ: 11.179.644/0001-05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7C32" w:rsidRDefault="00EE7C32" w:rsidP="008B5A07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1.775,00</w:t>
            </w:r>
          </w:p>
        </w:tc>
      </w:tr>
    </w:tbl>
    <w:p w:rsidR="004D4113" w:rsidRPr="004D4113" w:rsidRDefault="005511C2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  <w:r>
        <w:rPr>
          <w:rFonts w:ascii="Cambria" w:eastAsia="Times New Roman" w:hAnsi="Cambria" w:cs="Calibri"/>
          <w:sz w:val="24"/>
          <w:szCs w:val="24"/>
          <w:lang w:eastAsia="pt-BR"/>
        </w:rPr>
        <w:t xml:space="preserve">Teresina, </w:t>
      </w:r>
      <w:r w:rsidR="00172C40">
        <w:rPr>
          <w:rFonts w:ascii="Cambria" w:eastAsia="Times New Roman" w:hAnsi="Cambria" w:cs="Calibri"/>
          <w:sz w:val="24"/>
          <w:szCs w:val="24"/>
          <w:lang w:eastAsia="pt-BR"/>
        </w:rPr>
        <w:t>05</w:t>
      </w:r>
      <w:r w:rsidR="004D4113" w:rsidRPr="004D4113">
        <w:rPr>
          <w:rFonts w:ascii="Cambria" w:eastAsia="Times New Roman" w:hAnsi="Cambria" w:cs="Calibri"/>
          <w:sz w:val="24"/>
          <w:szCs w:val="24"/>
          <w:lang w:eastAsia="pt-BR"/>
        </w:rPr>
        <w:t xml:space="preserve"> de </w:t>
      </w:r>
      <w:r w:rsidR="00627F0B">
        <w:rPr>
          <w:rFonts w:ascii="Cambria" w:eastAsia="Times New Roman" w:hAnsi="Cambria" w:cs="Calibri"/>
          <w:sz w:val="24"/>
          <w:szCs w:val="24"/>
          <w:lang w:eastAsia="pt-BR"/>
        </w:rPr>
        <w:t>abril</w:t>
      </w:r>
      <w:r w:rsidR="004D4113" w:rsidRPr="004D4113">
        <w:rPr>
          <w:rFonts w:ascii="Cambria" w:eastAsia="Times New Roman" w:hAnsi="Cambria" w:cs="Calibri"/>
          <w:sz w:val="24"/>
          <w:szCs w:val="24"/>
          <w:lang w:eastAsia="pt-BR"/>
        </w:rPr>
        <w:t xml:space="preserve"> de 2022.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proofErr w:type="spellStart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Cleandro</w:t>
      </w:r>
      <w:proofErr w:type="spellEnd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Alves de Moura</w:t>
      </w:r>
      <w:r w:rsidRPr="004D4113">
        <w:rPr>
          <w:rFonts w:ascii="Cambria" w:eastAsia="Times New Roman" w:hAnsi="Cambria" w:cs="Calibri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Procurador-Geral de Justiça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proofErr w:type="spellStart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Afranio</w:t>
      </w:r>
      <w:proofErr w:type="spellEnd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Oliveira da Silva – Coordenador de Licitações e Contratos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proofErr w:type="spellStart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Celiane</w:t>
      </w:r>
      <w:proofErr w:type="spellEnd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Azevedo da Fonseca– Técnica Ministerial</w:t>
      </w:r>
    </w:p>
    <w:p w:rsidR="00ED61CC" w:rsidRDefault="00ED61CC"/>
    <w:sectPr w:rsidR="00ED61CC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353B5"/>
    <w:rsid w:val="00172C40"/>
    <w:rsid w:val="00434E33"/>
    <w:rsid w:val="004D4113"/>
    <w:rsid w:val="005511C2"/>
    <w:rsid w:val="00627F0B"/>
    <w:rsid w:val="00651435"/>
    <w:rsid w:val="00665B51"/>
    <w:rsid w:val="00670988"/>
    <w:rsid w:val="008570C0"/>
    <w:rsid w:val="008921B4"/>
    <w:rsid w:val="008B5A07"/>
    <w:rsid w:val="009869EF"/>
    <w:rsid w:val="009C7291"/>
    <w:rsid w:val="00A95B50"/>
    <w:rsid w:val="00C7727E"/>
    <w:rsid w:val="00E12255"/>
    <w:rsid w:val="00E46C06"/>
    <w:rsid w:val="00E63BF8"/>
    <w:rsid w:val="00ED61CC"/>
    <w:rsid w:val="00EE7C32"/>
    <w:rsid w:val="00F55DD0"/>
    <w:rsid w:val="00F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82E0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11</cp:revision>
  <dcterms:created xsi:type="dcterms:W3CDTF">2022-02-22T11:28:00Z</dcterms:created>
  <dcterms:modified xsi:type="dcterms:W3CDTF">2022-04-05T11:49:00Z</dcterms:modified>
</cp:coreProperties>
</file>